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pPr w:vertAnchor="page" w:horzAnchor="page" w:tblpX="8686" w:tblpY="331"/>
        <w:tblW w:w="0" w:type="auto"/>
        <w:tblLayout w:type="fixed"/>
        <w:tblCellMar>
          <w:left w:w="0" w:type="dxa"/>
          <w:right w:w="0" w:type="dxa"/>
        </w:tblCellMar>
        <w:tblLook w:val="04A0" w:firstRow="1" w:lastRow="0" w:firstColumn="1" w:lastColumn="0" w:noHBand="0" w:noVBand="1"/>
      </w:tblPr>
      <w:tblGrid>
        <w:gridCol w:w="1581"/>
      </w:tblGrid>
      <w:tr w:rsidR="001F5899" w:rsidTr="001F5899">
        <w:trPr>
          <w:cantSplit/>
          <w:trHeight w:val="454"/>
        </w:trPr>
        <w:tc>
          <w:tcPr>
            <w:tcW w:w="1581" w:type="dxa"/>
            <w:noWrap/>
          </w:tcPr>
          <w:p w:rsidR="001F5899" w:rsidRDefault="001F5899" w:rsidP="0070686A">
            <w:pPr>
              <w:pStyle w:val="1"/>
              <w:rPr>
                <w:lang w:val="en-US"/>
              </w:rPr>
            </w:pPr>
          </w:p>
        </w:tc>
      </w:tr>
    </w:tbl>
    <w:tbl>
      <w:tblPr>
        <w:tblStyle w:val="a3"/>
        <w:tblpPr w:leftFromText="181" w:rightFromText="181" w:vertAnchor="page" w:horzAnchor="margin" w:tblpXSpec="right"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tblGrid>
      <w:tr w:rsidR="0007553B" w:rsidTr="003B69AD">
        <w:tc>
          <w:tcPr>
            <w:tcW w:w="4852" w:type="dxa"/>
          </w:tcPr>
          <w:p w:rsidR="00D87FBA" w:rsidRPr="00D87FBA" w:rsidRDefault="00D87FBA" w:rsidP="00D87FBA">
            <w:pPr>
              <w:spacing w:line="240" w:lineRule="exact"/>
              <w:ind w:right="-108"/>
              <w:jc w:val="both"/>
              <w:rPr>
                <w:rFonts w:ascii="Times New Roman" w:hAnsi="Times New Roman" w:cs="Times New Roman"/>
                <w:sz w:val="28"/>
                <w:szCs w:val="28"/>
              </w:rPr>
            </w:pPr>
            <w:r w:rsidRPr="00D87FBA">
              <w:rPr>
                <w:rFonts w:ascii="Times New Roman" w:hAnsi="Times New Roman" w:cs="Times New Roman"/>
                <w:sz w:val="28"/>
                <w:szCs w:val="28"/>
              </w:rPr>
              <w:t xml:space="preserve">Главам администраций  городского поселения поселок Красное-на-Волге, </w:t>
            </w:r>
            <w:proofErr w:type="spellStart"/>
            <w:r w:rsidRPr="00D87FBA">
              <w:rPr>
                <w:rFonts w:ascii="Times New Roman" w:hAnsi="Times New Roman" w:cs="Times New Roman"/>
                <w:sz w:val="28"/>
                <w:szCs w:val="28"/>
              </w:rPr>
              <w:t>Боровиковского</w:t>
            </w:r>
            <w:proofErr w:type="spellEnd"/>
            <w:r w:rsidRPr="00D87FBA">
              <w:rPr>
                <w:rFonts w:ascii="Times New Roman" w:hAnsi="Times New Roman" w:cs="Times New Roman"/>
                <w:sz w:val="28"/>
                <w:szCs w:val="28"/>
              </w:rPr>
              <w:t xml:space="preserve">, </w:t>
            </w:r>
            <w:proofErr w:type="spellStart"/>
            <w:r w:rsidRPr="00D87FBA">
              <w:rPr>
                <w:rFonts w:ascii="Times New Roman" w:hAnsi="Times New Roman" w:cs="Times New Roman"/>
                <w:sz w:val="28"/>
                <w:szCs w:val="28"/>
              </w:rPr>
              <w:t>Сидоровского</w:t>
            </w:r>
            <w:proofErr w:type="spellEnd"/>
            <w:r w:rsidRPr="00D87FBA">
              <w:rPr>
                <w:rFonts w:ascii="Times New Roman" w:hAnsi="Times New Roman" w:cs="Times New Roman"/>
                <w:sz w:val="28"/>
                <w:szCs w:val="28"/>
              </w:rPr>
              <w:t xml:space="preserve">, Чапаевского, Шолоховского, Подольского, </w:t>
            </w:r>
            <w:proofErr w:type="spellStart"/>
            <w:r w:rsidRPr="00D87FBA">
              <w:rPr>
                <w:rFonts w:ascii="Times New Roman" w:hAnsi="Times New Roman" w:cs="Times New Roman"/>
                <w:sz w:val="28"/>
                <w:szCs w:val="28"/>
              </w:rPr>
              <w:t>Прискоковского</w:t>
            </w:r>
            <w:proofErr w:type="spellEnd"/>
            <w:r w:rsidRPr="00D87FBA">
              <w:rPr>
                <w:rFonts w:ascii="Times New Roman" w:hAnsi="Times New Roman" w:cs="Times New Roman"/>
                <w:sz w:val="28"/>
                <w:szCs w:val="28"/>
              </w:rPr>
              <w:t xml:space="preserve">, </w:t>
            </w:r>
            <w:proofErr w:type="spellStart"/>
            <w:r w:rsidRPr="00D87FBA">
              <w:rPr>
                <w:rFonts w:ascii="Times New Roman" w:hAnsi="Times New Roman" w:cs="Times New Roman"/>
                <w:sz w:val="28"/>
                <w:szCs w:val="28"/>
              </w:rPr>
              <w:t>Гридинского</w:t>
            </w:r>
            <w:proofErr w:type="spellEnd"/>
            <w:r w:rsidRPr="00D87FBA">
              <w:rPr>
                <w:rFonts w:ascii="Times New Roman" w:hAnsi="Times New Roman" w:cs="Times New Roman"/>
                <w:sz w:val="28"/>
                <w:szCs w:val="28"/>
              </w:rPr>
              <w:t xml:space="preserve"> сельских поселений, Красносельского муниципального района Костромской области</w:t>
            </w:r>
          </w:p>
          <w:p w:rsidR="00002C26" w:rsidRPr="00002C26" w:rsidRDefault="00002C26" w:rsidP="00002C26">
            <w:pPr>
              <w:spacing w:line="240" w:lineRule="exact"/>
              <w:ind w:right="-108"/>
              <w:rPr>
                <w:rFonts w:ascii="Times New Roman" w:hAnsi="Times New Roman" w:cs="Times New Roman"/>
                <w:sz w:val="28"/>
                <w:szCs w:val="28"/>
              </w:rPr>
            </w:pPr>
          </w:p>
          <w:p w:rsidR="00CD4A9D" w:rsidRPr="00002C26" w:rsidRDefault="00CD4A9D" w:rsidP="00CD4A9D">
            <w:pPr>
              <w:spacing w:line="240" w:lineRule="exact"/>
              <w:ind w:right="-108"/>
              <w:rPr>
                <w:rFonts w:ascii="Times New Roman" w:hAnsi="Times New Roman" w:cs="Times New Roman"/>
                <w:sz w:val="28"/>
                <w:szCs w:val="28"/>
              </w:rPr>
            </w:pPr>
          </w:p>
          <w:p w:rsidR="00024D01" w:rsidRPr="00002C26" w:rsidRDefault="00024D01" w:rsidP="009E3844">
            <w:pPr>
              <w:spacing w:line="240" w:lineRule="exact"/>
              <w:ind w:right="-108"/>
              <w:rPr>
                <w:rFonts w:ascii="Times New Roman" w:hAnsi="Times New Roman" w:cs="Times New Roman"/>
                <w:sz w:val="28"/>
                <w:szCs w:val="28"/>
              </w:rPr>
            </w:pPr>
          </w:p>
        </w:tc>
      </w:tr>
    </w:tbl>
    <w:tbl>
      <w:tblPr>
        <w:tblStyle w:val="a3"/>
        <w:tblpPr w:leftFromText="180" w:rightFromText="180" w:vertAnchor="page" w:horzAnchor="page" w:tblpX="890" w:tblpY="214"/>
        <w:tblW w:w="411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1701"/>
        <w:gridCol w:w="426"/>
        <w:gridCol w:w="850"/>
      </w:tblGrid>
      <w:tr w:rsidR="00F03741" w:rsidTr="00F03741">
        <w:trPr>
          <w:trHeight w:hRule="exact" w:val="3400"/>
        </w:trPr>
        <w:tc>
          <w:tcPr>
            <w:tcW w:w="4111" w:type="dxa"/>
            <w:gridSpan w:val="5"/>
            <w:tcBorders>
              <w:bottom w:val="nil"/>
            </w:tcBorders>
          </w:tcPr>
          <w:p w:rsidR="00F03741" w:rsidRPr="00A47537" w:rsidRDefault="00F03741" w:rsidP="00F03741">
            <w:pPr>
              <w:ind w:left="454"/>
              <w:jc w:val="center"/>
              <w:rPr>
                <w:rFonts w:ascii="Times New Roman" w:hAnsi="Times New Roman" w:cs="Times New Roman"/>
                <w:sz w:val="16"/>
                <w:szCs w:val="20"/>
              </w:rPr>
            </w:pPr>
            <w:r>
              <w:rPr>
                <w:rFonts w:ascii="Times New Roman" w:hAnsi="Times New Roman" w:cs="Times New Roman"/>
                <w:noProof/>
                <w:lang w:eastAsia="ru-RU"/>
              </w:rPr>
              <w:drawing>
                <wp:inline distT="0" distB="0" distL="0" distR="0">
                  <wp:extent cx="756000" cy="756000"/>
                  <wp:effectExtent l="0" t="0" r="6350" b="6350"/>
                  <wp:docPr id="255" name="Рисунок 4" descr="Описание: C:\Users\ДШ\Моя работа\Моя работа 1\01 Бланки\Ptisa-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ДШ\Моя работа\Моя работа 1\01 Бланки\Ptisa-1.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p w:rsidR="006E3E1E" w:rsidRPr="00C04F7D" w:rsidRDefault="006E3E1E" w:rsidP="006E3E1E">
            <w:pPr>
              <w:spacing w:line="256" w:lineRule="auto"/>
              <w:ind w:left="454"/>
              <w:jc w:val="center"/>
              <w:rPr>
                <w:rFonts w:ascii="Times New Roman" w:eastAsia="Calibri" w:hAnsi="Times New Roman" w:cs="Times New Roman"/>
                <w:sz w:val="16"/>
                <w:szCs w:val="16"/>
              </w:rPr>
            </w:pPr>
            <w:r w:rsidRPr="00C04F7D">
              <w:rPr>
                <w:rFonts w:ascii="Times New Roman" w:eastAsia="Calibri" w:hAnsi="Times New Roman" w:cs="Times New Roman"/>
                <w:sz w:val="16"/>
                <w:szCs w:val="16"/>
              </w:rPr>
              <w:t>ПРОКУРАТУРА РОССИЙСКОЙ ФЕДЕРАЦИИ</w:t>
            </w:r>
          </w:p>
          <w:p w:rsidR="006E3E1E" w:rsidRPr="00C04F7D" w:rsidRDefault="006E3E1E" w:rsidP="006E3E1E">
            <w:pPr>
              <w:spacing w:line="256" w:lineRule="auto"/>
              <w:ind w:left="454"/>
              <w:jc w:val="center"/>
              <w:rPr>
                <w:rFonts w:ascii="Times New Roman" w:eastAsia="Calibri" w:hAnsi="Times New Roman" w:cs="Times New Roman"/>
                <w:sz w:val="16"/>
                <w:szCs w:val="16"/>
              </w:rPr>
            </w:pPr>
            <w:r w:rsidRPr="00C04F7D">
              <w:rPr>
                <w:rFonts w:ascii="Times New Roman" w:eastAsia="Calibri" w:hAnsi="Times New Roman" w:cs="Times New Roman"/>
                <w:sz w:val="16"/>
                <w:szCs w:val="16"/>
              </w:rPr>
              <w:t>ПРОКУРАТУРА КОСТРОМСКОЙ ОБЛАСТИ</w:t>
            </w:r>
          </w:p>
          <w:p w:rsidR="007045C7" w:rsidRPr="0027418F" w:rsidRDefault="007045C7" w:rsidP="007045C7">
            <w:pPr>
              <w:spacing w:before="120" w:line="257" w:lineRule="auto"/>
              <w:ind w:left="454"/>
              <w:jc w:val="center"/>
              <w:rPr>
                <w:rFonts w:ascii="Times New Roman" w:eastAsia="Calibri" w:hAnsi="Times New Roman" w:cs="Times New Roman"/>
                <w:b/>
                <w:bCs/>
              </w:rPr>
            </w:pPr>
            <w:r w:rsidRPr="0027418F">
              <w:rPr>
                <w:rFonts w:ascii="Times New Roman" w:eastAsia="Calibri" w:hAnsi="Times New Roman" w:cs="Times New Roman"/>
                <w:b/>
                <w:bCs/>
              </w:rPr>
              <w:t>ПРОКУРАТУРА</w:t>
            </w:r>
          </w:p>
          <w:p w:rsidR="007045C7" w:rsidRPr="0027418F" w:rsidRDefault="007045C7" w:rsidP="007045C7">
            <w:pPr>
              <w:spacing w:line="257" w:lineRule="auto"/>
              <w:ind w:left="454"/>
              <w:jc w:val="center"/>
              <w:rPr>
                <w:rFonts w:ascii="Times New Roman" w:eastAsia="Calibri" w:hAnsi="Times New Roman" w:cs="Times New Roman"/>
                <w:b/>
                <w:bCs/>
              </w:rPr>
            </w:pPr>
            <w:r w:rsidRPr="002429E1">
              <w:rPr>
                <w:rFonts w:ascii="Times New Roman" w:eastAsia="Calibri" w:hAnsi="Times New Roman" w:cs="Times New Roman"/>
                <w:b/>
                <w:bCs/>
              </w:rPr>
              <w:t xml:space="preserve">КРАСНОСЕЛЬСКОГО </w:t>
            </w:r>
            <w:r w:rsidRPr="0027418F">
              <w:rPr>
                <w:rFonts w:ascii="Times New Roman" w:eastAsia="Calibri" w:hAnsi="Times New Roman" w:cs="Times New Roman"/>
                <w:b/>
                <w:bCs/>
              </w:rPr>
              <w:t>РАЙОНА</w:t>
            </w:r>
          </w:p>
          <w:p w:rsidR="007045C7" w:rsidRPr="002429E1" w:rsidRDefault="007045C7" w:rsidP="007045C7">
            <w:pPr>
              <w:spacing w:before="120" w:line="256" w:lineRule="auto"/>
              <w:ind w:left="454"/>
              <w:jc w:val="center"/>
              <w:rPr>
                <w:rFonts w:ascii="Times New Roman" w:eastAsia="Calibri" w:hAnsi="Times New Roman" w:cs="Times New Roman"/>
                <w:sz w:val="17"/>
                <w:szCs w:val="17"/>
              </w:rPr>
            </w:pPr>
            <w:r w:rsidRPr="002429E1">
              <w:rPr>
                <w:rFonts w:ascii="Times New Roman" w:eastAsia="Calibri" w:hAnsi="Times New Roman" w:cs="Times New Roman"/>
                <w:sz w:val="17"/>
                <w:szCs w:val="17"/>
              </w:rPr>
              <w:t>ул. Республиканская, 19, п. Красное-на-Волге, Костромская область, 157940,</w:t>
            </w:r>
          </w:p>
          <w:p w:rsidR="00F03741" w:rsidRPr="00A47537" w:rsidRDefault="007045C7" w:rsidP="007045C7">
            <w:pPr>
              <w:jc w:val="center"/>
              <w:rPr>
                <w:rFonts w:ascii="Times New Roman" w:hAnsi="Times New Roman" w:cs="Times New Roman"/>
                <w:sz w:val="20"/>
                <w:szCs w:val="20"/>
              </w:rPr>
            </w:pPr>
            <w:r w:rsidRPr="002429E1">
              <w:rPr>
                <w:rFonts w:ascii="Times New Roman" w:eastAsia="Calibri" w:hAnsi="Times New Roman" w:cs="Times New Roman"/>
                <w:sz w:val="17"/>
                <w:szCs w:val="17"/>
              </w:rPr>
              <w:t>тел. 8 (49432) 2-20-78</w:t>
            </w:r>
          </w:p>
        </w:tc>
      </w:tr>
      <w:tr w:rsidR="00F03741" w:rsidTr="00F03741">
        <w:trPr>
          <w:trHeight w:hRule="exact" w:val="397"/>
        </w:trPr>
        <w:tc>
          <w:tcPr>
            <w:tcW w:w="426" w:type="dxa"/>
            <w:tcBorders>
              <w:bottom w:val="nil"/>
            </w:tcBorders>
            <w:tcFitText/>
            <w:vAlign w:val="center"/>
          </w:tcPr>
          <w:p w:rsidR="00F03741" w:rsidRDefault="00F03741" w:rsidP="00F03741">
            <w:pPr>
              <w:jc w:val="center"/>
              <w:rPr>
                <w:rFonts w:ascii="Times New Roman" w:hAnsi="Times New Roman" w:cs="Times New Roman"/>
                <w:noProof/>
              </w:rPr>
            </w:pPr>
          </w:p>
        </w:tc>
        <w:tc>
          <w:tcPr>
            <w:tcW w:w="3685" w:type="dxa"/>
            <w:gridSpan w:val="4"/>
            <w:tcBorders>
              <w:bottom w:val="nil"/>
            </w:tcBorders>
            <w:tcFitText/>
            <w:vAlign w:val="center"/>
          </w:tcPr>
          <w:p w:rsidR="00F03741" w:rsidRDefault="00F03741" w:rsidP="00F03741">
            <w:pPr>
              <w:rPr>
                <w:rFonts w:ascii="Times New Roman" w:hAnsi="Times New Roman" w:cs="Times New Roman"/>
                <w:noProof/>
              </w:rPr>
            </w:pPr>
            <w:bookmarkStart w:id="0" w:name="REGNUMDATESTAMP"/>
            <w:bookmarkEnd w:id="0"/>
          </w:p>
        </w:tc>
      </w:tr>
      <w:tr w:rsidR="00F03741" w:rsidTr="00F6016B">
        <w:trPr>
          <w:trHeight w:hRule="exact" w:val="397"/>
        </w:trPr>
        <w:tc>
          <w:tcPr>
            <w:tcW w:w="1134" w:type="dxa"/>
            <w:gridSpan w:val="2"/>
            <w:tcBorders>
              <w:top w:val="nil"/>
              <w:bottom w:val="nil"/>
            </w:tcBorders>
            <w:tcMar>
              <w:right w:w="0" w:type="dxa"/>
            </w:tcMar>
            <w:vAlign w:val="bottom"/>
          </w:tcPr>
          <w:p w:rsidR="00F03741" w:rsidRDefault="00F03741" w:rsidP="00F03741">
            <w:pPr>
              <w:jc w:val="right"/>
              <w:rPr>
                <w:rFonts w:ascii="Times New Roman" w:hAnsi="Times New Roman" w:cs="Times New Roman"/>
                <w:noProof/>
              </w:rPr>
            </w:pPr>
            <w:r>
              <w:rPr>
                <w:rFonts w:ascii="Times New Roman" w:hAnsi="Times New Roman" w:cs="Times New Roman"/>
                <w:noProof/>
              </w:rPr>
              <w:t>на №</w:t>
            </w:r>
          </w:p>
        </w:tc>
        <w:tc>
          <w:tcPr>
            <w:tcW w:w="1701" w:type="dxa"/>
            <w:tcBorders>
              <w:top w:val="nil"/>
              <w:bottom w:val="single" w:sz="4" w:space="0" w:color="auto"/>
            </w:tcBorders>
            <w:vAlign w:val="bottom"/>
          </w:tcPr>
          <w:p w:rsidR="00F03741" w:rsidRPr="006D31E9" w:rsidRDefault="00F03741" w:rsidP="00F03741">
            <w:pPr>
              <w:jc w:val="center"/>
              <w:rPr>
                <w:rFonts w:ascii="Times New Roman" w:hAnsi="Times New Roman" w:cs="Times New Roman"/>
                <w:noProof/>
                <w:sz w:val="14"/>
                <w:szCs w:val="14"/>
                <w:lang w:val="en-US"/>
              </w:rPr>
            </w:pPr>
          </w:p>
        </w:tc>
        <w:tc>
          <w:tcPr>
            <w:tcW w:w="426" w:type="dxa"/>
            <w:tcBorders>
              <w:top w:val="nil"/>
              <w:bottom w:val="nil"/>
            </w:tcBorders>
            <w:vAlign w:val="bottom"/>
          </w:tcPr>
          <w:p w:rsidR="00F03741" w:rsidRDefault="00F03741" w:rsidP="00F03741">
            <w:pPr>
              <w:jc w:val="center"/>
              <w:rPr>
                <w:rFonts w:ascii="Times New Roman" w:hAnsi="Times New Roman" w:cs="Times New Roman"/>
                <w:noProof/>
              </w:rPr>
            </w:pPr>
            <w:r>
              <w:rPr>
                <w:rFonts w:ascii="Times New Roman" w:hAnsi="Times New Roman" w:cs="Times New Roman"/>
                <w:noProof/>
              </w:rPr>
              <w:t>от</w:t>
            </w:r>
          </w:p>
        </w:tc>
        <w:tc>
          <w:tcPr>
            <w:tcW w:w="850" w:type="dxa"/>
            <w:tcBorders>
              <w:top w:val="nil"/>
            </w:tcBorders>
            <w:tcMar>
              <w:left w:w="28" w:type="dxa"/>
              <w:right w:w="0" w:type="dxa"/>
            </w:tcMar>
            <w:vAlign w:val="bottom"/>
          </w:tcPr>
          <w:p w:rsidR="00F03741" w:rsidRPr="006D31E9" w:rsidRDefault="00F03741" w:rsidP="006D31E9">
            <w:pPr>
              <w:ind w:right="34"/>
              <w:jc w:val="center"/>
              <w:rPr>
                <w:rFonts w:ascii="Times New Roman" w:hAnsi="Times New Roman" w:cs="Times New Roman"/>
                <w:noProof/>
                <w:sz w:val="14"/>
                <w:szCs w:val="14"/>
                <w:lang w:val="en-US"/>
              </w:rPr>
            </w:pPr>
          </w:p>
        </w:tc>
      </w:tr>
    </w:tbl>
    <w:p w:rsidR="00F96C94" w:rsidRDefault="00F96C94" w:rsidP="0039045F">
      <w:pPr>
        <w:spacing w:before="240" w:after="0" w:line="240" w:lineRule="auto"/>
        <w:rPr>
          <w:rFonts w:ascii="Times New Roman" w:hAnsi="Times New Roman" w:cs="Times New Roman"/>
          <w:sz w:val="28"/>
          <w:szCs w:val="28"/>
        </w:rPr>
      </w:pPr>
    </w:p>
    <w:p w:rsidR="004753CB" w:rsidRDefault="004753CB" w:rsidP="0039045F">
      <w:pPr>
        <w:spacing w:before="240" w:after="0" w:line="240" w:lineRule="auto"/>
        <w:rPr>
          <w:rFonts w:ascii="Times New Roman" w:hAnsi="Times New Roman" w:cs="Times New Roman"/>
          <w:sz w:val="28"/>
          <w:szCs w:val="28"/>
        </w:rPr>
      </w:pPr>
    </w:p>
    <w:p w:rsidR="004753CB" w:rsidRDefault="004753CB" w:rsidP="0039045F">
      <w:pPr>
        <w:spacing w:before="240" w:after="0" w:line="240" w:lineRule="auto"/>
        <w:rPr>
          <w:rFonts w:ascii="Times New Roman" w:hAnsi="Times New Roman" w:cs="Times New Roman"/>
          <w:sz w:val="28"/>
          <w:szCs w:val="28"/>
        </w:rPr>
      </w:pPr>
    </w:p>
    <w:p w:rsidR="004753CB" w:rsidRDefault="004753CB" w:rsidP="0039045F">
      <w:pPr>
        <w:spacing w:before="240" w:after="0" w:line="240" w:lineRule="auto"/>
        <w:rPr>
          <w:rFonts w:ascii="Times New Roman" w:hAnsi="Times New Roman" w:cs="Times New Roman"/>
          <w:sz w:val="28"/>
          <w:szCs w:val="28"/>
        </w:rPr>
      </w:pPr>
    </w:p>
    <w:p w:rsidR="00C32DEB" w:rsidRDefault="00C32DEB" w:rsidP="0090162C">
      <w:pPr>
        <w:tabs>
          <w:tab w:val="left" w:pos="4395"/>
        </w:tabs>
        <w:spacing w:after="0" w:line="240" w:lineRule="auto"/>
        <w:rPr>
          <w:rFonts w:ascii="Times New Roman" w:hAnsi="Times New Roman" w:cs="Times New Roman"/>
          <w:sz w:val="28"/>
          <w:szCs w:val="28"/>
        </w:rPr>
      </w:pPr>
    </w:p>
    <w:p w:rsidR="00AC0748" w:rsidRDefault="00AC0748" w:rsidP="0090162C">
      <w:pPr>
        <w:tabs>
          <w:tab w:val="left" w:pos="4395"/>
        </w:tabs>
        <w:spacing w:after="0" w:line="240" w:lineRule="auto"/>
        <w:rPr>
          <w:rFonts w:ascii="Times New Roman" w:hAnsi="Times New Roman" w:cs="Times New Roman"/>
          <w:sz w:val="28"/>
          <w:szCs w:val="28"/>
        </w:rPr>
      </w:pPr>
    </w:p>
    <w:p w:rsidR="00E10DCA" w:rsidRDefault="00E10DCA" w:rsidP="00AC0748">
      <w:pPr>
        <w:spacing w:after="0" w:line="240" w:lineRule="auto"/>
        <w:ind w:left="-142"/>
        <w:jc w:val="center"/>
        <w:rPr>
          <w:rFonts w:ascii="Times New Roman" w:hAnsi="Times New Roman" w:cs="Times New Roman"/>
          <w:sz w:val="28"/>
          <w:szCs w:val="28"/>
        </w:rPr>
      </w:pPr>
    </w:p>
    <w:p w:rsidR="00E10DCA" w:rsidRDefault="00E10DCA" w:rsidP="00AC0748">
      <w:pPr>
        <w:spacing w:after="0" w:line="240" w:lineRule="auto"/>
        <w:ind w:left="-142"/>
        <w:jc w:val="center"/>
        <w:rPr>
          <w:rFonts w:ascii="Times New Roman" w:hAnsi="Times New Roman" w:cs="Times New Roman"/>
          <w:sz w:val="28"/>
          <w:szCs w:val="28"/>
        </w:rPr>
      </w:pPr>
    </w:p>
    <w:p w:rsidR="00CE49EB" w:rsidRDefault="00CE49EB" w:rsidP="00AC0748">
      <w:pPr>
        <w:spacing w:after="0" w:line="240" w:lineRule="auto"/>
        <w:ind w:left="-142"/>
        <w:jc w:val="center"/>
        <w:rPr>
          <w:rFonts w:ascii="Times New Roman" w:hAnsi="Times New Roman" w:cs="Times New Roman"/>
          <w:sz w:val="28"/>
          <w:szCs w:val="28"/>
        </w:rPr>
      </w:pPr>
    </w:p>
    <w:p w:rsidR="00CE49EB" w:rsidRDefault="00CE49EB" w:rsidP="00AC0748">
      <w:pPr>
        <w:spacing w:after="0" w:line="240" w:lineRule="auto"/>
        <w:ind w:left="-142"/>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D73DBD" w:rsidTr="00D73DBD">
        <w:tc>
          <w:tcPr>
            <w:tcW w:w="4111" w:type="dxa"/>
            <w:hideMark/>
          </w:tcPr>
          <w:p w:rsidR="006D0CA9" w:rsidRPr="007B3F7E" w:rsidRDefault="006D0CA9" w:rsidP="00D87FBA">
            <w:pPr>
              <w:tabs>
                <w:tab w:val="left" w:pos="4253"/>
              </w:tabs>
              <w:spacing w:before="120" w:line="240" w:lineRule="exact"/>
              <w:jc w:val="both"/>
              <w:rPr>
                <w:rFonts w:ascii="Times New Roman" w:hAnsi="Times New Roman" w:cs="Times New Roman"/>
                <w:sz w:val="28"/>
                <w:szCs w:val="28"/>
              </w:rPr>
            </w:pPr>
          </w:p>
        </w:tc>
      </w:tr>
    </w:tbl>
    <w:p w:rsidR="00C32DEB" w:rsidRDefault="00C32DEB" w:rsidP="00C32DEB">
      <w:pPr>
        <w:spacing w:after="0" w:line="240" w:lineRule="auto"/>
        <w:rPr>
          <w:rFonts w:ascii="Times New Roman" w:hAnsi="Times New Roman" w:cs="Times New Roman"/>
          <w:sz w:val="28"/>
          <w:szCs w:val="28"/>
        </w:rPr>
      </w:pPr>
    </w:p>
    <w:p w:rsidR="002153E2" w:rsidRPr="002153E2" w:rsidRDefault="00D87FBA" w:rsidP="00215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FBA">
        <w:rPr>
          <w:rFonts w:ascii="Times New Roman" w:eastAsia="Times New Roman" w:hAnsi="Times New Roman" w:cs="Times New Roman"/>
          <w:sz w:val="28"/>
          <w:szCs w:val="28"/>
          <w:lang w:eastAsia="ru-RU"/>
        </w:rPr>
        <w:t xml:space="preserve">Прошу Вас разместить на официальных сайтах органов местного   самоуправления информацию </w:t>
      </w:r>
      <w:r w:rsidR="000E357E">
        <w:rPr>
          <w:rFonts w:ascii="Times New Roman" w:hAnsi="Times New Roman" w:cs="Times New Roman"/>
          <w:sz w:val="28"/>
          <w:szCs w:val="28"/>
        </w:rPr>
        <w:t>о разъяснении</w:t>
      </w:r>
      <w:r w:rsidR="00473DA3">
        <w:rPr>
          <w:rFonts w:ascii="Times New Roman" w:hAnsi="Times New Roman" w:cs="Times New Roman"/>
          <w:sz w:val="28"/>
          <w:szCs w:val="28"/>
        </w:rPr>
        <w:t xml:space="preserve"> действующего законодательства</w:t>
      </w:r>
      <w:r w:rsidR="000E357E">
        <w:rPr>
          <w:rFonts w:ascii="Times New Roman" w:hAnsi="Times New Roman" w:cs="Times New Roman"/>
          <w:sz w:val="28"/>
          <w:szCs w:val="28"/>
        </w:rPr>
        <w:t xml:space="preserve"> </w:t>
      </w:r>
      <w:r w:rsidR="0022274D">
        <w:rPr>
          <w:rFonts w:ascii="Times New Roman" w:hAnsi="Times New Roman" w:cs="Times New Roman"/>
          <w:sz w:val="28"/>
          <w:szCs w:val="28"/>
        </w:rPr>
        <w:t xml:space="preserve">в сфере </w:t>
      </w:r>
      <w:r w:rsidR="000E357E">
        <w:rPr>
          <w:rFonts w:ascii="Times New Roman" w:hAnsi="Times New Roman" w:cs="Times New Roman"/>
          <w:sz w:val="28"/>
          <w:szCs w:val="28"/>
        </w:rPr>
        <w:t>противодействи</w:t>
      </w:r>
      <w:r w:rsidR="0022274D">
        <w:rPr>
          <w:rFonts w:ascii="Times New Roman" w:hAnsi="Times New Roman" w:cs="Times New Roman"/>
          <w:sz w:val="28"/>
          <w:szCs w:val="28"/>
        </w:rPr>
        <w:t>я</w:t>
      </w:r>
      <w:bookmarkStart w:id="1" w:name="_GoBack"/>
      <w:bookmarkEnd w:id="1"/>
      <w:r w:rsidR="000E357E">
        <w:rPr>
          <w:rFonts w:ascii="Times New Roman" w:hAnsi="Times New Roman" w:cs="Times New Roman"/>
          <w:sz w:val="28"/>
          <w:szCs w:val="28"/>
        </w:rPr>
        <w:t xml:space="preserve"> коррупции</w:t>
      </w:r>
      <w:r w:rsidR="00473DA3">
        <w:rPr>
          <w:rFonts w:ascii="Times New Roman" w:hAnsi="Times New Roman" w:cs="Times New Roman"/>
          <w:sz w:val="28"/>
          <w:szCs w:val="28"/>
        </w:rPr>
        <w:t xml:space="preserve">. </w:t>
      </w:r>
    </w:p>
    <w:p w:rsidR="002153E2" w:rsidRPr="005E0B58" w:rsidRDefault="002153E2" w:rsidP="00EB2C4D">
      <w:pPr>
        <w:shd w:val="clear" w:color="auto" w:fill="FFFFFF"/>
        <w:spacing w:after="0" w:line="240" w:lineRule="auto"/>
        <w:jc w:val="both"/>
        <w:rPr>
          <w:rFonts w:ascii="Times New Roman" w:eastAsia="Times New Roman" w:hAnsi="Times New Roman" w:cs="Times New Roman"/>
          <w:sz w:val="28"/>
          <w:szCs w:val="28"/>
          <w:lang w:eastAsia="ru-RU"/>
        </w:rPr>
      </w:pPr>
    </w:p>
    <w:p w:rsidR="00175028" w:rsidRDefault="00175028" w:rsidP="00B978D8">
      <w:pPr>
        <w:spacing w:after="0" w:line="240" w:lineRule="auto"/>
        <w:jc w:val="both"/>
        <w:rPr>
          <w:rFonts w:ascii="Times New Roman" w:eastAsia="Times New Roman" w:hAnsi="Times New Roman" w:cs="Courier New"/>
          <w:sz w:val="28"/>
          <w:szCs w:val="28"/>
          <w:lang w:eastAsia="ru-RU"/>
        </w:rPr>
      </w:pPr>
    </w:p>
    <w:tbl>
      <w:tblPr>
        <w:tblStyle w:val="a3"/>
        <w:tblpPr w:leftFromText="181" w:rightFromText="181" w:vertAnchor="text" w:tblpY="1"/>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6"/>
        <w:gridCol w:w="1736"/>
        <w:gridCol w:w="2742"/>
      </w:tblGrid>
      <w:tr w:rsidR="001921AE" w:rsidTr="0062632E">
        <w:trPr>
          <w:trHeight w:val="280"/>
        </w:trPr>
        <w:tc>
          <w:tcPr>
            <w:tcW w:w="5556" w:type="dxa"/>
            <w:vAlign w:val="bottom"/>
          </w:tcPr>
          <w:p w:rsidR="00CC5D5B" w:rsidRPr="00CC5D5B" w:rsidRDefault="00473DA3" w:rsidP="00CC5D5B">
            <w:pPr>
              <w:spacing w:line="240" w:lineRule="exac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CC5D5B" w:rsidRPr="00CC5D5B">
              <w:rPr>
                <w:rFonts w:ascii="Times New Roman" w:hAnsi="Times New Roman" w:cs="Times New Roman"/>
                <w:sz w:val="28"/>
                <w:szCs w:val="28"/>
              </w:rPr>
              <w:t>рокурор</w:t>
            </w:r>
            <w:r>
              <w:rPr>
                <w:rFonts w:ascii="Times New Roman" w:hAnsi="Times New Roman" w:cs="Times New Roman"/>
                <w:sz w:val="28"/>
                <w:szCs w:val="28"/>
              </w:rPr>
              <w:t>а</w:t>
            </w:r>
            <w:r w:rsidR="00CC5D5B" w:rsidRPr="00CC5D5B">
              <w:rPr>
                <w:rFonts w:ascii="Times New Roman" w:hAnsi="Times New Roman" w:cs="Times New Roman"/>
                <w:sz w:val="28"/>
                <w:szCs w:val="28"/>
              </w:rPr>
              <w:t xml:space="preserve"> района</w:t>
            </w:r>
          </w:p>
          <w:p w:rsidR="00CC5D5B" w:rsidRPr="00CC5D5B" w:rsidRDefault="00CC5D5B" w:rsidP="00CC5D5B">
            <w:pPr>
              <w:spacing w:line="240" w:lineRule="exact"/>
              <w:rPr>
                <w:rFonts w:ascii="Times New Roman" w:hAnsi="Times New Roman" w:cs="Times New Roman"/>
                <w:sz w:val="28"/>
                <w:szCs w:val="28"/>
              </w:rPr>
            </w:pPr>
          </w:p>
          <w:p w:rsidR="00FA01E1" w:rsidRDefault="00473DA3" w:rsidP="00CC5D5B">
            <w:pPr>
              <w:spacing w:line="240" w:lineRule="exact"/>
              <w:rPr>
                <w:rFonts w:ascii="Times New Roman" w:hAnsi="Times New Roman" w:cs="Times New Roman"/>
                <w:sz w:val="28"/>
                <w:szCs w:val="28"/>
              </w:rPr>
            </w:pPr>
            <w:r>
              <w:rPr>
                <w:rFonts w:ascii="Times New Roman" w:hAnsi="Times New Roman" w:cs="Times New Roman"/>
                <w:sz w:val="28"/>
                <w:szCs w:val="28"/>
              </w:rPr>
              <w:t>младший</w:t>
            </w:r>
            <w:r w:rsidR="00CC5D5B" w:rsidRPr="00CC5D5B">
              <w:rPr>
                <w:rFonts w:ascii="Times New Roman" w:hAnsi="Times New Roman" w:cs="Times New Roman"/>
                <w:sz w:val="28"/>
                <w:szCs w:val="28"/>
              </w:rPr>
              <w:t xml:space="preserve"> советник юстиции</w:t>
            </w:r>
          </w:p>
        </w:tc>
        <w:tc>
          <w:tcPr>
            <w:tcW w:w="1736" w:type="dxa"/>
            <w:vAlign w:val="bottom"/>
          </w:tcPr>
          <w:p w:rsidR="001921AE" w:rsidRDefault="001921AE" w:rsidP="00D24EFE">
            <w:pPr>
              <w:spacing w:line="240" w:lineRule="exact"/>
              <w:rPr>
                <w:rFonts w:ascii="Times New Roman" w:hAnsi="Times New Roman" w:cs="Times New Roman"/>
                <w:sz w:val="28"/>
                <w:szCs w:val="28"/>
              </w:rPr>
            </w:pPr>
          </w:p>
        </w:tc>
        <w:tc>
          <w:tcPr>
            <w:tcW w:w="2742" w:type="dxa"/>
            <w:vAlign w:val="bottom"/>
          </w:tcPr>
          <w:p w:rsidR="001921AE" w:rsidRPr="00034CED" w:rsidRDefault="00034CED" w:rsidP="00D24EFE">
            <w:pPr>
              <w:spacing w:line="240" w:lineRule="exact"/>
              <w:jc w:val="right"/>
              <w:rPr>
                <w:rFonts w:ascii="Times New Roman" w:hAnsi="Times New Roman" w:cs="Times New Roman"/>
                <w:sz w:val="28"/>
                <w:szCs w:val="28"/>
              </w:rPr>
            </w:pPr>
            <w:r w:rsidRPr="00CC5D5B">
              <w:rPr>
                <w:rFonts w:ascii="Times New Roman" w:hAnsi="Times New Roman" w:cs="Times New Roman"/>
                <w:sz w:val="28"/>
                <w:szCs w:val="28"/>
              </w:rPr>
              <w:t xml:space="preserve"> </w:t>
            </w:r>
            <w:r w:rsidR="00CC5D5B" w:rsidRPr="00CC5D5B">
              <w:rPr>
                <w:rFonts w:ascii="Times New Roman" w:eastAsia="Times New Roman" w:hAnsi="Times New Roman" w:cs="Times New Roman"/>
                <w:sz w:val="28"/>
                <w:szCs w:val="24"/>
                <w:lang w:eastAsia="ru-RU"/>
              </w:rPr>
              <w:t xml:space="preserve"> </w:t>
            </w:r>
            <w:r w:rsidR="00473DA3">
              <w:rPr>
                <w:rFonts w:ascii="Times New Roman" w:hAnsi="Times New Roman" w:cs="Times New Roman"/>
                <w:sz w:val="28"/>
                <w:szCs w:val="28"/>
              </w:rPr>
              <w:t>А.А. Голубев</w:t>
            </w:r>
          </w:p>
        </w:tc>
      </w:tr>
    </w:tbl>
    <w:tbl>
      <w:tblPr>
        <w:tblW w:w="9128" w:type="dxa"/>
        <w:tblLayout w:type="fixed"/>
        <w:tblLook w:val="0000" w:firstRow="0" w:lastRow="0" w:firstColumn="0" w:lastColumn="0" w:noHBand="0" w:noVBand="0"/>
      </w:tblPr>
      <w:tblGrid>
        <w:gridCol w:w="9128"/>
      </w:tblGrid>
      <w:tr w:rsidR="00503D80" w:rsidRPr="00B34B16" w:rsidTr="003B6741">
        <w:trPr>
          <w:cantSplit/>
          <w:trHeight w:val="1"/>
        </w:trPr>
        <w:tc>
          <w:tcPr>
            <w:tcW w:w="9128" w:type="dxa"/>
          </w:tcPr>
          <w:p w:rsidR="00503D80" w:rsidRPr="00503D80" w:rsidRDefault="00503D80" w:rsidP="00D24EFE">
            <w:pPr>
              <w:spacing w:before="240" w:line="360" w:lineRule="exact"/>
              <w:ind w:left="1985"/>
              <w:rPr>
                <w:color w:val="BFBFBF" w:themeColor="background1" w:themeShade="BF"/>
                <w:sz w:val="24"/>
                <w:szCs w:val="24"/>
              </w:rPr>
            </w:pPr>
            <w:bookmarkStart w:id="2" w:name="SIGNERSTAMP1"/>
            <w:proofErr w:type="spellStart"/>
            <w:proofErr w:type="gramStart"/>
            <w:r>
              <w:rPr>
                <w:color w:val="BFBFBF" w:themeColor="background1" w:themeShade="BF"/>
                <w:sz w:val="24"/>
                <w:szCs w:val="24"/>
              </w:rPr>
              <w:t>эл.подпись</w:t>
            </w:r>
            <w:bookmarkEnd w:id="2"/>
            <w:proofErr w:type="spellEnd"/>
            <w:proofErr w:type="gramEnd"/>
          </w:p>
          <w:p w:rsidR="00503D80" w:rsidRPr="00B34B16" w:rsidRDefault="00503D80" w:rsidP="003B1A4E">
            <w:pPr>
              <w:spacing w:line="360" w:lineRule="exact"/>
              <w:rPr>
                <w:color w:val="808080" w:themeColor="background1" w:themeShade="80"/>
                <w:sz w:val="28"/>
                <w:szCs w:val="28"/>
              </w:rPr>
            </w:pPr>
          </w:p>
        </w:tc>
      </w:tr>
    </w:tbl>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BB708A" w:rsidRDefault="00BB708A"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1B0265" w:rsidRDefault="001B0265" w:rsidP="005B6345">
      <w:pPr>
        <w:tabs>
          <w:tab w:val="left" w:pos="2268"/>
          <w:tab w:val="left" w:pos="6804"/>
        </w:tabs>
        <w:spacing w:after="0" w:line="240" w:lineRule="auto"/>
        <w:rPr>
          <w:rFonts w:ascii="Times New Roman" w:hAnsi="Times New Roman" w:cs="Times New Roman"/>
          <w:sz w:val="20"/>
          <w:szCs w:val="20"/>
        </w:rPr>
      </w:pPr>
    </w:p>
    <w:p w:rsidR="005B6345" w:rsidRDefault="002A062B" w:rsidP="005B6345">
      <w:pPr>
        <w:tabs>
          <w:tab w:val="left" w:pos="2268"/>
          <w:tab w:val="left" w:pos="6804"/>
        </w:tabs>
        <w:spacing w:after="0" w:line="240" w:lineRule="auto"/>
        <w:rPr>
          <w:rFonts w:ascii="Times New Roman" w:hAnsi="Times New Roman" w:cs="Times New Roman"/>
          <w:sz w:val="20"/>
          <w:szCs w:val="20"/>
        </w:rPr>
      </w:pPr>
      <w:r>
        <w:rPr>
          <w:rFonts w:ascii="Times New Roman" w:hAnsi="Times New Roman" w:cs="Times New Roman"/>
          <w:sz w:val="20"/>
          <w:szCs w:val="20"/>
        </w:rPr>
        <w:t>М.А. Морева</w:t>
      </w:r>
      <w:r w:rsidR="003071D4">
        <w:rPr>
          <w:rFonts w:ascii="Times New Roman" w:hAnsi="Times New Roman" w:cs="Times New Roman"/>
          <w:sz w:val="20"/>
          <w:szCs w:val="20"/>
        </w:rPr>
        <w:t xml:space="preserve">, тел. </w:t>
      </w:r>
      <w:r>
        <w:rPr>
          <w:rFonts w:ascii="Times New Roman" w:hAnsi="Times New Roman" w:cs="Times New Roman"/>
          <w:sz w:val="20"/>
          <w:szCs w:val="20"/>
        </w:rPr>
        <w:t>8(49432)31674</w:t>
      </w:r>
    </w:p>
    <w:p w:rsidR="002153E2" w:rsidRDefault="002153E2" w:rsidP="005B6345">
      <w:pPr>
        <w:tabs>
          <w:tab w:val="left" w:pos="2268"/>
          <w:tab w:val="left" w:pos="6804"/>
        </w:tabs>
        <w:spacing w:after="0" w:line="240" w:lineRule="auto"/>
        <w:rPr>
          <w:rFonts w:ascii="Times New Roman" w:hAnsi="Times New Roman" w:cs="Times New Roman"/>
          <w:sz w:val="20"/>
          <w:szCs w:val="20"/>
        </w:rPr>
      </w:pPr>
    </w:p>
    <w:p w:rsidR="002153E2" w:rsidRDefault="002153E2" w:rsidP="005B6345">
      <w:pPr>
        <w:tabs>
          <w:tab w:val="left" w:pos="2268"/>
          <w:tab w:val="left" w:pos="6804"/>
        </w:tabs>
        <w:spacing w:after="0" w:line="240" w:lineRule="auto"/>
        <w:rPr>
          <w:rFonts w:ascii="Times New Roman" w:hAnsi="Times New Roman" w:cs="Times New Roman"/>
          <w:sz w:val="20"/>
          <w:szCs w:val="20"/>
        </w:rPr>
      </w:pPr>
    </w:p>
    <w:p w:rsidR="002153E2" w:rsidRDefault="002153E2" w:rsidP="005B6345">
      <w:pPr>
        <w:tabs>
          <w:tab w:val="left" w:pos="2268"/>
          <w:tab w:val="left" w:pos="6804"/>
        </w:tabs>
        <w:spacing w:after="0" w:line="240" w:lineRule="auto"/>
        <w:rPr>
          <w:rFonts w:ascii="Times New Roman" w:hAnsi="Times New Roman" w:cs="Times New Roman"/>
          <w:sz w:val="20"/>
          <w:szCs w:val="20"/>
        </w:rPr>
      </w:pPr>
    </w:p>
    <w:p w:rsidR="00473DA3" w:rsidRDefault="00473DA3" w:rsidP="00A033A4">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b/>
          <w:sz w:val="28"/>
          <w:szCs w:val="28"/>
        </w:rPr>
      </w:pPr>
    </w:p>
    <w:p w:rsidR="00473DA3" w:rsidRDefault="00473DA3" w:rsidP="00A033A4">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b/>
          <w:sz w:val="28"/>
          <w:szCs w:val="28"/>
        </w:rPr>
      </w:pPr>
    </w:p>
    <w:p w:rsidR="00473DA3" w:rsidRDefault="00473DA3" w:rsidP="00A033A4">
      <w:pPr>
        <w:widowControl w:val="0"/>
        <w:shd w:val="clear" w:color="auto" w:fill="FFFFFF"/>
        <w:autoSpaceDE w:val="0"/>
        <w:autoSpaceDN w:val="0"/>
        <w:adjustRightInd w:val="0"/>
        <w:spacing w:after="0" w:line="240" w:lineRule="auto"/>
        <w:ind w:right="6" w:firstLine="709"/>
        <w:jc w:val="both"/>
        <w:rPr>
          <w:rFonts w:ascii="Times New Roman" w:hAnsi="Times New Roman" w:cs="Times New Roman"/>
          <w:b/>
          <w:sz w:val="28"/>
          <w:szCs w:val="28"/>
        </w:rPr>
      </w:pPr>
    </w:p>
    <w:p w:rsidR="001B0265" w:rsidRPr="001B0265" w:rsidRDefault="001B0265" w:rsidP="001B0265">
      <w:pPr>
        <w:spacing w:after="0" w:line="240" w:lineRule="auto"/>
        <w:ind w:firstLine="709"/>
        <w:jc w:val="center"/>
        <w:rPr>
          <w:rFonts w:ascii="Times New Roman" w:eastAsia="Calibri" w:hAnsi="Times New Roman" w:cs="Times New Roman"/>
          <w:b/>
          <w:sz w:val="28"/>
          <w:szCs w:val="28"/>
        </w:rPr>
      </w:pPr>
      <w:r w:rsidRPr="001B0265">
        <w:rPr>
          <w:rFonts w:ascii="Times New Roman" w:eastAsia="Calibri" w:hAnsi="Times New Roman" w:cs="Times New Roman"/>
          <w:b/>
          <w:sz w:val="28"/>
          <w:szCs w:val="28"/>
        </w:rPr>
        <w:lastRenderedPageBreak/>
        <w:t>Коррупционные правонарушения в сфере закупок</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В соответствии со статьей 7 Федерального закона от 25 декабря 2008 года № 273-ФЗ «О противодействии коррупции»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 открытости, добросовестной конкуренции и объективности при осуществлении закупок товаров, работ, услуг.</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Существует нескольких основных способов злоупотреблений при заключении и исполнении государственных и муниципальных контрактов.</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Первый способ –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 то есть аффилированность работников органов государственной власти и органов самоуправления с субъектами предпринимательской деятельности.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Второй способ – ограничение конкуренции, воспрепятствование предпринимательской деятельности при организации и проведении конкурсных процедур, в том числе путем завышения стоимости работ и с использованием фирм-однодневок. К числу механизмов, используемых для завышения цены контракта на стадии, предшествующей выполнению работ, относится завышение начальной цены контракта представителем заказчика при наличии сговора с предполагаемым победителем.</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Уголовная ответственность за нарушения в сфере закупок предусмотрена статьями 200.4 (злоупотребление в сфере закупок товаров, работ, услуг для обеспечения государственных или муниципальных нужд), 205.5 (подкуп работника контрактной службы, лица, осуществляющего приемку поставленных товаров, выполненных работ или оказанных услуг), 304 (провокация взятки, коммерческого подкупа либо подкупа в сфере закупок товаров, работ, услуг для обеспечения государственных или муниципальных нужд) Уголовного кодекса Российской Федерации.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В отдельных случаях действия злоумышленников могут квалифицироваться по статье 159 Уголовного кодекса Российской Федерации (мошенничество).</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center"/>
        <w:rPr>
          <w:rFonts w:ascii="Times New Roman" w:eastAsia="Calibri" w:hAnsi="Times New Roman" w:cs="Times New Roman"/>
          <w:b/>
          <w:sz w:val="28"/>
          <w:szCs w:val="28"/>
        </w:rPr>
      </w:pPr>
      <w:r w:rsidRPr="001B0265">
        <w:rPr>
          <w:rFonts w:ascii="Times New Roman" w:eastAsia="Calibri" w:hAnsi="Times New Roman" w:cs="Times New Roman"/>
          <w:b/>
          <w:sz w:val="28"/>
          <w:szCs w:val="28"/>
        </w:rPr>
        <w:t>Что такое конфликт интересов на государственной и муниципальной службе?</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Понятие «конфликт интересов» закреплено в ч. 1 ст. 10 Федерального закона от 25.12.2008 № 273-ФЗ «О противодействии коррупции», а процедура урегулирования конфликта – в ст. 11, а также в ст. 19 Федерального закона от 27.07.2004 № 79-ФЗ «О государственной гражданской службе Российской Федерации» и ст. 14.1 Федерального закона от 02.03.2007 № 25-ФЗ «О муниципальной службе в Российской Федерации».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lastRenderedPageBreak/>
        <w:t>Конфликт интересов – это ситуация, при которой личная прямая или косвенная заинтересованность служащего влияет или может повлиять на надлежащее, объективное и беспристрастное исполнение им должностных (служебных) обязанностей (полномочий).</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Личная заинтересованность означает, что доходы, выгоды, преимущества может получить сам служащий, его родственники (свойственники), друзья (знакомые) или организации, которые связаны с ним имущественными, корпоративными или иными близкими отношениями.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Служащий обязан уведомить о конфликте интересов или о возможности его возникновения, как только ему стало известно об этом. Для этого он должен подготовить письменное уведомление и подать его представителю нанимателя.</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center"/>
        <w:rPr>
          <w:rFonts w:ascii="Times New Roman" w:eastAsia="Calibri" w:hAnsi="Times New Roman" w:cs="Times New Roman"/>
          <w:b/>
          <w:sz w:val="28"/>
          <w:szCs w:val="28"/>
        </w:rPr>
      </w:pPr>
      <w:r w:rsidRPr="001B0265">
        <w:rPr>
          <w:rFonts w:ascii="Times New Roman" w:eastAsia="Calibri" w:hAnsi="Times New Roman" w:cs="Times New Roman"/>
          <w:b/>
          <w:sz w:val="28"/>
          <w:szCs w:val="28"/>
        </w:rPr>
        <w:t>В чем отличие подарка от взятки?</w:t>
      </w:r>
    </w:p>
    <w:p w:rsidR="001B0265" w:rsidRPr="001B0265" w:rsidRDefault="001B0265" w:rsidP="001B0265">
      <w:pPr>
        <w:spacing w:after="0" w:line="240" w:lineRule="auto"/>
        <w:ind w:firstLine="709"/>
        <w:jc w:val="center"/>
        <w:rPr>
          <w:rFonts w:ascii="Times New Roman" w:eastAsia="Calibri" w:hAnsi="Times New Roman" w:cs="Times New Roman"/>
          <w:b/>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Критерий, разграничивающий взятку и подарок, это безвозмездность. Безвозмездность является основным признаком договора дарения как разновидности гражданско-правовой сделки: любой дар безвозмезден, если дарение обусловлено совершением каких-либо действий другой стороной, то это приводит к признанию такого договора ничтожным. Взятка же, как правило, передается и получается за какие-либо действия или бездействие. Она носит возмездный, взаимный и обоюдный характер.</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Размер взятки влияет на общественную опасность данного преступления и квалификацию содеянного: если он не превышает 10 тысяч рублей, то это мелкая взятка (ст. 291.2 Уголовного кодекса Российской Федерации), наказание за данное преступление предусматривает до одного года лишения свободы, если свыше 10 тыс. рублей, то деяние квалифицируется по ст. 290 Уголовного кодекса Российской Федерации, где срок лишения свободы предусмотрен до 15 лет лишения свободы.</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center"/>
        <w:rPr>
          <w:rFonts w:ascii="Times New Roman" w:eastAsia="Calibri" w:hAnsi="Times New Roman" w:cs="Times New Roman"/>
          <w:b/>
          <w:sz w:val="28"/>
          <w:szCs w:val="28"/>
        </w:rPr>
      </w:pPr>
      <w:r w:rsidRPr="001B0265">
        <w:rPr>
          <w:rFonts w:ascii="Times New Roman" w:eastAsia="Calibri" w:hAnsi="Times New Roman" w:cs="Times New Roman"/>
          <w:b/>
          <w:sz w:val="28"/>
          <w:szCs w:val="28"/>
        </w:rPr>
        <w:t xml:space="preserve">Какие существуют особенности трудоустройства бывших государственных и муниципальных служащих в организации? </w:t>
      </w:r>
    </w:p>
    <w:p w:rsidR="001B0265" w:rsidRPr="001B0265" w:rsidRDefault="001B0265" w:rsidP="001B0265">
      <w:pPr>
        <w:spacing w:after="0" w:line="240" w:lineRule="auto"/>
        <w:ind w:firstLine="709"/>
        <w:jc w:val="center"/>
        <w:rPr>
          <w:rFonts w:ascii="Times New Roman" w:eastAsia="Calibri" w:hAnsi="Times New Roman" w:cs="Times New Roman"/>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 xml:space="preserve">В соответствии с ч. 1 ст. 12 Федерального закона от 25.12.2008 № 273-ФЗ «О противодействии коррупции» гражданин, замещавший должность государственной или муниципальной службы, включенную в перечень, </w:t>
      </w:r>
      <w:r w:rsidRPr="001B0265">
        <w:rPr>
          <w:rFonts w:ascii="Times New Roman" w:eastAsia="Calibri" w:hAnsi="Times New Roman" w:cs="Times New Roman"/>
          <w:sz w:val="28"/>
          <w:szCs w:val="28"/>
        </w:rPr>
        <w:lastRenderedPageBreak/>
        <w:t>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В свою очередь, согласно ч.4 ст.12 Федерального закона «О противодействии коррупции» работодатель, заключивший трудовой договор или гражданско-правовой договор на выполнение работ (оказание услуг) с таким гражданином, обязан в десятидневный срок сообщить об этом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Несоблюдение указанных требований влечет для работодателя административную ответственность по ст. 19.29 Кодекса Российской Федерации об административных правонарушениях, для работника – прекращение трудового или гражданско-правового договора. При этом для работодателя-гражданина ответственность установлена в виде административного штрафа в размере от 2 тыс. до 4 тыс. рублей, для организации – от 100 тыс. до 500 тыс. рублей, для должностного лица организации – от 20 тыс. до 50 тыс. рублей.</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от 21.01.2015 № 29.</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center"/>
        <w:rPr>
          <w:rFonts w:ascii="Times New Roman" w:eastAsia="Calibri" w:hAnsi="Times New Roman" w:cs="Times New Roman"/>
          <w:sz w:val="28"/>
          <w:szCs w:val="28"/>
        </w:rPr>
      </w:pPr>
      <w:r w:rsidRPr="001B0265">
        <w:rPr>
          <w:rFonts w:ascii="Times New Roman" w:eastAsia="Calibri" w:hAnsi="Times New Roman" w:cs="Times New Roman"/>
          <w:b/>
          <w:sz w:val="28"/>
          <w:szCs w:val="28"/>
        </w:rPr>
        <w:t xml:space="preserve">Что такое антикоррупционная экспертиза и кто вправе ее проводить? </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Федеральным законом «О противодействии коррупции» в качестве одной из мер профилактики коррупционных проявлений предусмотрено проведение антикоррупционной экспертизы нормативных правовых актов и проектов таких актов всех уровней системы государственного управления и местного самоуправления. Целью такой экспертизы является выявление в нормативных актах и их проектах норм, которые создают условия для коррупционных проявлений и помогают избежать ответственности за совершение таких правонарушений (коррупциогенные факторы).</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lastRenderedPageBreak/>
        <w:t>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устанавливаются Федеральным законом от 17.07.2009 №172-ФЗ «Об антикоррупционной экспертизе нормативных правовых актов и проектов нормативных правовых актов».</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Согласно указанному федеральному закону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Антикоррупционная экспертиза нормативных правовых актов (проектов нормативных правовых актов) проводится органами государственной и муниципальной власти, издавшими нормативный правовой акт, а также Министерством юстиции Российской Федерации, прокуратурой и независимыми экспертами.</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Независимую антикоррупционную экспертизу вправе проводить граждане и юридические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1B0265" w:rsidRPr="001B0265" w:rsidRDefault="001B0265" w:rsidP="001B0265">
      <w:pPr>
        <w:spacing w:after="0" w:line="240" w:lineRule="auto"/>
        <w:ind w:firstLine="709"/>
        <w:jc w:val="both"/>
        <w:rPr>
          <w:rFonts w:ascii="Times New Roman" w:eastAsia="Calibri" w:hAnsi="Times New Roman" w:cs="Times New Roman"/>
          <w:sz w:val="28"/>
          <w:szCs w:val="28"/>
        </w:rPr>
      </w:pPr>
      <w:r w:rsidRPr="001B0265">
        <w:rPr>
          <w:rFonts w:ascii="Times New Roman" w:eastAsia="Calibri" w:hAnsi="Times New Roman" w:cs="Times New Roman"/>
          <w:sz w:val="28"/>
          <w:szCs w:val="28"/>
        </w:rPr>
        <w:t>Методика проведения антикоррупционной экспертизы нормативных правовых актов и проектов нормативных правовых актов утверждена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2153E2" w:rsidRPr="004F3F2A" w:rsidRDefault="002153E2" w:rsidP="001B0265">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sectPr w:rsidR="002153E2" w:rsidRPr="004F3F2A" w:rsidSect="001B0265">
      <w:headerReference w:type="default" r:id="rId8"/>
      <w:footerReference w:type="first" r:id="rId9"/>
      <w:pgSz w:w="11906" w:h="16838"/>
      <w:pgMar w:top="1134" w:right="567"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29" w:rsidRDefault="00FF3B29" w:rsidP="007212FD">
      <w:pPr>
        <w:spacing w:after="0" w:line="240" w:lineRule="auto"/>
      </w:pPr>
      <w:r>
        <w:separator/>
      </w:r>
    </w:p>
  </w:endnote>
  <w:endnote w:type="continuationSeparator" w:id="0">
    <w:p w:rsidR="00FF3B29" w:rsidRDefault="00FF3B29"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FD07E2">
      <w:trPr>
        <w:cantSplit/>
        <w:trHeight w:val="57"/>
      </w:trPr>
      <w:tc>
        <w:tcPr>
          <w:tcW w:w="3643" w:type="dxa"/>
        </w:tcPr>
        <w:p w:rsidR="002E7520" w:rsidRDefault="00923FB5" w:rsidP="002E7520">
          <w:pPr>
            <w:spacing w:after="60" w:line="240" w:lineRule="auto"/>
            <w:jc w:val="center"/>
            <w:rPr>
              <w:rFonts w:ascii="Times New Roman" w:hAnsi="Times New Roman"/>
              <w:sz w:val="16"/>
              <w:szCs w:val="16"/>
            </w:rPr>
          </w:pPr>
          <w:bookmarkStart w:id="3" w:name="SIGNERORG1"/>
          <w:r w:rsidRPr="00EA1DA0">
            <w:rPr>
              <w:rFonts w:ascii="Times New Roman" w:hAnsi="Times New Roman"/>
              <w:sz w:val="16"/>
              <w:szCs w:val="16"/>
            </w:rPr>
            <w:t>организация</w:t>
          </w:r>
          <w:bookmarkEnd w:id="3"/>
        </w:p>
        <w:p w:rsidR="00107179" w:rsidRPr="00E12680" w:rsidRDefault="00107179"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4" w:name="REGNUMSTAMP"/>
          <w:bookmarkEnd w:id="4"/>
        </w:p>
      </w:tc>
    </w:tr>
  </w:tbl>
  <w:p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29" w:rsidRDefault="00FF3B29" w:rsidP="007212FD">
      <w:pPr>
        <w:spacing w:after="0" w:line="240" w:lineRule="auto"/>
      </w:pPr>
      <w:r>
        <w:separator/>
      </w:r>
    </w:p>
  </w:footnote>
  <w:footnote w:type="continuationSeparator" w:id="0">
    <w:p w:rsidR="00FF3B29" w:rsidRDefault="00FF3B29"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191933"/>
      <w:docPartObj>
        <w:docPartGallery w:val="Page Numbers (Top of Page)"/>
        <w:docPartUnique/>
      </w:docPartObj>
    </w:sdtPr>
    <w:sdtEndPr/>
    <w:sdtContent>
      <w:p w:rsidR="00940A15" w:rsidRDefault="00A15E38">
        <w:pPr>
          <w:pStyle w:val="a4"/>
          <w:jc w:val="center"/>
        </w:pPr>
        <w:r>
          <w:fldChar w:fldCharType="begin"/>
        </w:r>
        <w:r w:rsidR="00940A15">
          <w:instrText>PAGE   \* MERGEFORMAT</w:instrText>
        </w:r>
        <w:r>
          <w:fldChar w:fldCharType="separate"/>
        </w:r>
        <w:r w:rsidR="00C43F34">
          <w:rPr>
            <w:noProof/>
          </w:rPr>
          <w:t>2</w:t>
        </w:r>
        <w:r>
          <w:fldChar w:fldCharType="end"/>
        </w:r>
      </w:p>
    </w:sdtContent>
  </w:sdt>
  <w:p w:rsidR="00940A15" w:rsidRDefault="00940A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6"/>
    <w:rsid w:val="00002C26"/>
    <w:rsid w:val="0001634D"/>
    <w:rsid w:val="00021F0F"/>
    <w:rsid w:val="00024D01"/>
    <w:rsid w:val="00031C8A"/>
    <w:rsid w:val="00034CED"/>
    <w:rsid w:val="00044414"/>
    <w:rsid w:val="000550FF"/>
    <w:rsid w:val="00055F99"/>
    <w:rsid w:val="00056A50"/>
    <w:rsid w:val="00057AD0"/>
    <w:rsid w:val="00066FE3"/>
    <w:rsid w:val="00070889"/>
    <w:rsid w:val="00074F9D"/>
    <w:rsid w:val="0007553B"/>
    <w:rsid w:val="00076B93"/>
    <w:rsid w:val="000803E2"/>
    <w:rsid w:val="000833E9"/>
    <w:rsid w:val="000857DB"/>
    <w:rsid w:val="00090738"/>
    <w:rsid w:val="00090766"/>
    <w:rsid w:val="00094E54"/>
    <w:rsid w:val="00095729"/>
    <w:rsid w:val="000A1EA3"/>
    <w:rsid w:val="000A4E3C"/>
    <w:rsid w:val="000A6C9D"/>
    <w:rsid w:val="000B708E"/>
    <w:rsid w:val="000C062E"/>
    <w:rsid w:val="000C1396"/>
    <w:rsid w:val="000C426A"/>
    <w:rsid w:val="000D15C8"/>
    <w:rsid w:val="000E357E"/>
    <w:rsid w:val="000F7BB7"/>
    <w:rsid w:val="00100C9E"/>
    <w:rsid w:val="00107179"/>
    <w:rsid w:val="00134382"/>
    <w:rsid w:val="0013514B"/>
    <w:rsid w:val="00143B67"/>
    <w:rsid w:val="00144445"/>
    <w:rsid w:val="00151B1C"/>
    <w:rsid w:val="001572B8"/>
    <w:rsid w:val="00166A1C"/>
    <w:rsid w:val="00173F90"/>
    <w:rsid w:val="00175028"/>
    <w:rsid w:val="001776B9"/>
    <w:rsid w:val="00180843"/>
    <w:rsid w:val="0018208F"/>
    <w:rsid w:val="001822FA"/>
    <w:rsid w:val="001921AE"/>
    <w:rsid w:val="001A71D0"/>
    <w:rsid w:val="001A79B6"/>
    <w:rsid w:val="001B0265"/>
    <w:rsid w:val="001B13EC"/>
    <w:rsid w:val="001B256F"/>
    <w:rsid w:val="001B2E4A"/>
    <w:rsid w:val="001B3194"/>
    <w:rsid w:val="001C2357"/>
    <w:rsid w:val="001C636E"/>
    <w:rsid w:val="001D50D4"/>
    <w:rsid w:val="001F169E"/>
    <w:rsid w:val="001F5899"/>
    <w:rsid w:val="001F7FCD"/>
    <w:rsid w:val="002041E0"/>
    <w:rsid w:val="002048A1"/>
    <w:rsid w:val="0020667B"/>
    <w:rsid w:val="00207036"/>
    <w:rsid w:val="002137B7"/>
    <w:rsid w:val="002153E2"/>
    <w:rsid w:val="00215854"/>
    <w:rsid w:val="00220511"/>
    <w:rsid w:val="0022274D"/>
    <w:rsid w:val="002313F4"/>
    <w:rsid w:val="002403E3"/>
    <w:rsid w:val="00240741"/>
    <w:rsid w:val="002638A2"/>
    <w:rsid w:val="0027498D"/>
    <w:rsid w:val="00280D52"/>
    <w:rsid w:val="00281733"/>
    <w:rsid w:val="00291073"/>
    <w:rsid w:val="00297BCD"/>
    <w:rsid w:val="002A062B"/>
    <w:rsid w:val="002A61DD"/>
    <w:rsid w:val="002B11BE"/>
    <w:rsid w:val="002C7C1D"/>
    <w:rsid w:val="002D484E"/>
    <w:rsid w:val="002E7520"/>
    <w:rsid w:val="002F0375"/>
    <w:rsid w:val="002F5211"/>
    <w:rsid w:val="003071D4"/>
    <w:rsid w:val="00314942"/>
    <w:rsid w:val="00334C30"/>
    <w:rsid w:val="0034238E"/>
    <w:rsid w:val="00346A29"/>
    <w:rsid w:val="00353458"/>
    <w:rsid w:val="00365A68"/>
    <w:rsid w:val="0037627A"/>
    <w:rsid w:val="0038203E"/>
    <w:rsid w:val="00384D83"/>
    <w:rsid w:val="003877B3"/>
    <w:rsid w:val="0039045F"/>
    <w:rsid w:val="003B1A4E"/>
    <w:rsid w:val="003B4D0B"/>
    <w:rsid w:val="003B6741"/>
    <w:rsid w:val="003B69AD"/>
    <w:rsid w:val="003B7F94"/>
    <w:rsid w:val="003C030D"/>
    <w:rsid w:val="003C1601"/>
    <w:rsid w:val="003C6171"/>
    <w:rsid w:val="003D375A"/>
    <w:rsid w:val="003E45E7"/>
    <w:rsid w:val="004036B5"/>
    <w:rsid w:val="004300A0"/>
    <w:rsid w:val="00430EF5"/>
    <w:rsid w:val="0045264F"/>
    <w:rsid w:val="00453C60"/>
    <w:rsid w:val="00464C05"/>
    <w:rsid w:val="00470AB3"/>
    <w:rsid w:val="00470BE4"/>
    <w:rsid w:val="00471072"/>
    <w:rsid w:val="00471B0F"/>
    <w:rsid w:val="00473DA3"/>
    <w:rsid w:val="004753CB"/>
    <w:rsid w:val="00481039"/>
    <w:rsid w:val="004840EF"/>
    <w:rsid w:val="00497EE9"/>
    <w:rsid w:val="004B21DC"/>
    <w:rsid w:val="004D439F"/>
    <w:rsid w:val="004E0AF0"/>
    <w:rsid w:val="004E386A"/>
    <w:rsid w:val="004F3F2A"/>
    <w:rsid w:val="00501116"/>
    <w:rsid w:val="00503D80"/>
    <w:rsid w:val="00536C62"/>
    <w:rsid w:val="005533DD"/>
    <w:rsid w:val="005539E8"/>
    <w:rsid w:val="00563D6F"/>
    <w:rsid w:val="00573CBD"/>
    <w:rsid w:val="005741AC"/>
    <w:rsid w:val="00587034"/>
    <w:rsid w:val="005916D9"/>
    <w:rsid w:val="00592045"/>
    <w:rsid w:val="00594FA9"/>
    <w:rsid w:val="005A53D0"/>
    <w:rsid w:val="005B3D48"/>
    <w:rsid w:val="005B6345"/>
    <w:rsid w:val="005C0CBF"/>
    <w:rsid w:val="005C4359"/>
    <w:rsid w:val="005C6A45"/>
    <w:rsid w:val="005D0F18"/>
    <w:rsid w:val="005E0B58"/>
    <w:rsid w:val="005F3038"/>
    <w:rsid w:val="005F7A65"/>
    <w:rsid w:val="00610CE9"/>
    <w:rsid w:val="00616173"/>
    <w:rsid w:val="00622A3B"/>
    <w:rsid w:val="0062632E"/>
    <w:rsid w:val="00632958"/>
    <w:rsid w:val="00640924"/>
    <w:rsid w:val="00644F34"/>
    <w:rsid w:val="006541AC"/>
    <w:rsid w:val="0065704F"/>
    <w:rsid w:val="00672D84"/>
    <w:rsid w:val="00673DB1"/>
    <w:rsid w:val="0067714B"/>
    <w:rsid w:val="006779E4"/>
    <w:rsid w:val="00677F4D"/>
    <w:rsid w:val="006879C2"/>
    <w:rsid w:val="00693993"/>
    <w:rsid w:val="006A7698"/>
    <w:rsid w:val="006B3CEA"/>
    <w:rsid w:val="006B4316"/>
    <w:rsid w:val="006B67F6"/>
    <w:rsid w:val="006C6F02"/>
    <w:rsid w:val="006D0CA9"/>
    <w:rsid w:val="006D31E9"/>
    <w:rsid w:val="006E0261"/>
    <w:rsid w:val="006E2551"/>
    <w:rsid w:val="006E2A1E"/>
    <w:rsid w:val="006E3E1E"/>
    <w:rsid w:val="006F4D2C"/>
    <w:rsid w:val="006F7CC2"/>
    <w:rsid w:val="00702603"/>
    <w:rsid w:val="0070362B"/>
    <w:rsid w:val="007045C7"/>
    <w:rsid w:val="007047DF"/>
    <w:rsid w:val="0070686A"/>
    <w:rsid w:val="007149FA"/>
    <w:rsid w:val="007212FD"/>
    <w:rsid w:val="00722A7C"/>
    <w:rsid w:val="00723238"/>
    <w:rsid w:val="0072533D"/>
    <w:rsid w:val="00725C8E"/>
    <w:rsid w:val="00726261"/>
    <w:rsid w:val="00741103"/>
    <w:rsid w:val="00750DA0"/>
    <w:rsid w:val="0076212D"/>
    <w:rsid w:val="00762DDE"/>
    <w:rsid w:val="00783A8D"/>
    <w:rsid w:val="007928EA"/>
    <w:rsid w:val="00792FF5"/>
    <w:rsid w:val="0079459D"/>
    <w:rsid w:val="007A268C"/>
    <w:rsid w:val="007B3F7E"/>
    <w:rsid w:val="007C155E"/>
    <w:rsid w:val="007C17ED"/>
    <w:rsid w:val="007C46FD"/>
    <w:rsid w:val="007C4E0A"/>
    <w:rsid w:val="007C6558"/>
    <w:rsid w:val="007E39BE"/>
    <w:rsid w:val="007F06B0"/>
    <w:rsid w:val="007F3723"/>
    <w:rsid w:val="0080110C"/>
    <w:rsid w:val="008044A2"/>
    <w:rsid w:val="00823BC6"/>
    <w:rsid w:val="00832A80"/>
    <w:rsid w:val="008473CC"/>
    <w:rsid w:val="00861729"/>
    <w:rsid w:val="00863FC4"/>
    <w:rsid w:val="00874AEC"/>
    <w:rsid w:val="008825C3"/>
    <w:rsid w:val="00893613"/>
    <w:rsid w:val="008B567E"/>
    <w:rsid w:val="008C2816"/>
    <w:rsid w:val="008F7298"/>
    <w:rsid w:val="0090162C"/>
    <w:rsid w:val="00902700"/>
    <w:rsid w:val="00905AA8"/>
    <w:rsid w:val="009107B5"/>
    <w:rsid w:val="00923FB5"/>
    <w:rsid w:val="00932222"/>
    <w:rsid w:val="0093472E"/>
    <w:rsid w:val="00934F4C"/>
    <w:rsid w:val="00940A15"/>
    <w:rsid w:val="00984873"/>
    <w:rsid w:val="0099556E"/>
    <w:rsid w:val="0099756F"/>
    <w:rsid w:val="009A05B6"/>
    <w:rsid w:val="009A24C8"/>
    <w:rsid w:val="009B2AFF"/>
    <w:rsid w:val="009B5590"/>
    <w:rsid w:val="009B710A"/>
    <w:rsid w:val="009D5CBB"/>
    <w:rsid w:val="009D7277"/>
    <w:rsid w:val="009E3844"/>
    <w:rsid w:val="009E50AB"/>
    <w:rsid w:val="009E590D"/>
    <w:rsid w:val="00A009C7"/>
    <w:rsid w:val="00A033A4"/>
    <w:rsid w:val="00A15E38"/>
    <w:rsid w:val="00A15E49"/>
    <w:rsid w:val="00A21AA7"/>
    <w:rsid w:val="00A3006F"/>
    <w:rsid w:val="00A30D31"/>
    <w:rsid w:val="00A45F78"/>
    <w:rsid w:val="00A47537"/>
    <w:rsid w:val="00A56FBD"/>
    <w:rsid w:val="00A64B55"/>
    <w:rsid w:val="00A70A77"/>
    <w:rsid w:val="00A70AF6"/>
    <w:rsid w:val="00A718E5"/>
    <w:rsid w:val="00A858C3"/>
    <w:rsid w:val="00A92256"/>
    <w:rsid w:val="00A95BBB"/>
    <w:rsid w:val="00AB7318"/>
    <w:rsid w:val="00AC0748"/>
    <w:rsid w:val="00AE1BE4"/>
    <w:rsid w:val="00AE59FA"/>
    <w:rsid w:val="00AF0FD6"/>
    <w:rsid w:val="00AF2622"/>
    <w:rsid w:val="00AF5330"/>
    <w:rsid w:val="00AF6F7C"/>
    <w:rsid w:val="00B03059"/>
    <w:rsid w:val="00B05F6A"/>
    <w:rsid w:val="00B22BE6"/>
    <w:rsid w:val="00B30832"/>
    <w:rsid w:val="00B411C1"/>
    <w:rsid w:val="00B55C7F"/>
    <w:rsid w:val="00B811B8"/>
    <w:rsid w:val="00B978D8"/>
    <w:rsid w:val="00BA1182"/>
    <w:rsid w:val="00BA7F86"/>
    <w:rsid w:val="00BB3DE8"/>
    <w:rsid w:val="00BB42B0"/>
    <w:rsid w:val="00BB708A"/>
    <w:rsid w:val="00BC4A75"/>
    <w:rsid w:val="00BC6A8C"/>
    <w:rsid w:val="00BE61BD"/>
    <w:rsid w:val="00BF42CF"/>
    <w:rsid w:val="00C031F2"/>
    <w:rsid w:val="00C07741"/>
    <w:rsid w:val="00C1310A"/>
    <w:rsid w:val="00C22313"/>
    <w:rsid w:val="00C23C4D"/>
    <w:rsid w:val="00C30DAE"/>
    <w:rsid w:val="00C3179B"/>
    <w:rsid w:val="00C32DEB"/>
    <w:rsid w:val="00C371DE"/>
    <w:rsid w:val="00C3759C"/>
    <w:rsid w:val="00C4069F"/>
    <w:rsid w:val="00C43F34"/>
    <w:rsid w:val="00C45C7E"/>
    <w:rsid w:val="00C5624E"/>
    <w:rsid w:val="00C66B82"/>
    <w:rsid w:val="00C73886"/>
    <w:rsid w:val="00C84F89"/>
    <w:rsid w:val="00CA18C3"/>
    <w:rsid w:val="00CA5F0B"/>
    <w:rsid w:val="00CB564A"/>
    <w:rsid w:val="00CB793A"/>
    <w:rsid w:val="00CC3359"/>
    <w:rsid w:val="00CC5D5B"/>
    <w:rsid w:val="00CD1C0A"/>
    <w:rsid w:val="00CD3804"/>
    <w:rsid w:val="00CD4A9D"/>
    <w:rsid w:val="00CD6A38"/>
    <w:rsid w:val="00CE37A6"/>
    <w:rsid w:val="00CE49EB"/>
    <w:rsid w:val="00CE6B50"/>
    <w:rsid w:val="00CF1BC5"/>
    <w:rsid w:val="00D02BF8"/>
    <w:rsid w:val="00D24EFE"/>
    <w:rsid w:val="00D30322"/>
    <w:rsid w:val="00D32DD9"/>
    <w:rsid w:val="00D33A78"/>
    <w:rsid w:val="00D45C06"/>
    <w:rsid w:val="00D468EE"/>
    <w:rsid w:val="00D510CF"/>
    <w:rsid w:val="00D51A9B"/>
    <w:rsid w:val="00D523F7"/>
    <w:rsid w:val="00D52A33"/>
    <w:rsid w:val="00D632E0"/>
    <w:rsid w:val="00D67556"/>
    <w:rsid w:val="00D678F2"/>
    <w:rsid w:val="00D73894"/>
    <w:rsid w:val="00D73B14"/>
    <w:rsid w:val="00D73DBD"/>
    <w:rsid w:val="00D76369"/>
    <w:rsid w:val="00D82D60"/>
    <w:rsid w:val="00D861EA"/>
    <w:rsid w:val="00D87FBA"/>
    <w:rsid w:val="00D941DC"/>
    <w:rsid w:val="00DC1887"/>
    <w:rsid w:val="00DD2619"/>
    <w:rsid w:val="00DF11CE"/>
    <w:rsid w:val="00DF74D9"/>
    <w:rsid w:val="00E10DCA"/>
    <w:rsid w:val="00E12680"/>
    <w:rsid w:val="00E20AB7"/>
    <w:rsid w:val="00E239CA"/>
    <w:rsid w:val="00E44B9F"/>
    <w:rsid w:val="00E80ECA"/>
    <w:rsid w:val="00E8158C"/>
    <w:rsid w:val="00EA1DA0"/>
    <w:rsid w:val="00EB2C4D"/>
    <w:rsid w:val="00EB3A85"/>
    <w:rsid w:val="00EB5B39"/>
    <w:rsid w:val="00EC7FC1"/>
    <w:rsid w:val="00ED2CD3"/>
    <w:rsid w:val="00ED46F3"/>
    <w:rsid w:val="00ED6F6C"/>
    <w:rsid w:val="00ED755A"/>
    <w:rsid w:val="00EE047C"/>
    <w:rsid w:val="00EE59E5"/>
    <w:rsid w:val="00EF32E2"/>
    <w:rsid w:val="00EF7B1D"/>
    <w:rsid w:val="00F03741"/>
    <w:rsid w:val="00F0673C"/>
    <w:rsid w:val="00F15E73"/>
    <w:rsid w:val="00F4476D"/>
    <w:rsid w:val="00F57360"/>
    <w:rsid w:val="00F6016B"/>
    <w:rsid w:val="00F66AC5"/>
    <w:rsid w:val="00F702B2"/>
    <w:rsid w:val="00F8464A"/>
    <w:rsid w:val="00F944D8"/>
    <w:rsid w:val="00F95708"/>
    <w:rsid w:val="00F95FA4"/>
    <w:rsid w:val="00F96C94"/>
    <w:rsid w:val="00FA01E1"/>
    <w:rsid w:val="00FA1015"/>
    <w:rsid w:val="00FB1EFB"/>
    <w:rsid w:val="00FD07E2"/>
    <w:rsid w:val="00FD0FD2"/>
    <w:rsid w:val="00FE23D6"/>
    <w:rsid w:val="00FE3EC1"/>
    <w:rsid w:val="00FF3B29"/>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7AE6"/>
  <w15:docId w15:val="{99AC03BF-D8B3-4EB6-91B0-7294246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D60"/>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Normal (Web)"/>
    <w:basedOn w:val="a"/>
    <w:uiPriority w:val="99"/>
    <w:semiHidden/>
    <w:unhideWhenUsed/>
    <w:rsid w:val="00B978D8"/>
    <w:rPr>
      <w:rFonts w:ascii="Times New Roman" w:hAnsi="Times New Roman" w:cs="Times New Roman"/>
      <w:sz w:val="24"/>
      <w:szCs w:val="24"/>
    </w:rPr>
  </w:style>
  <w:style w:type="character" w:styleId="a9">
    <w:name w:val="Hyperlink"/>
    <w:basedOn w:val="a0"/>
    <w:uiPriority w:val="99"/>
    <w:unhideWhenUsed/>
    <w:rsid w:val="00762DDE"/>
    <w:rPr>
      <w:color w:val="0563C1" w:themeColor="hyperlink"/>
      <w:u w:val="single"/>
    </w:rPr>
  </w:style>
  <w:style w:type="character" w:customStyle="1" w:styleId="11">
    <w:name w:val="Неразрешенное упоминание1"/>
    <w:basedOn w:val="a0"/>
    <w:uiPriority w:val="99"/>
    <w:semiHidden/>
    <w:unhideWhenUsed/>
    <w:rsid w:val="00762DDE"/>
    <w:rPr>
      <w:color w:val="605E5C"/>
      <w:shd w:val="clear" w:color="auto" w:fill="E1DFDD"/>
    </w:rPr>
  </w:style>
  <w:style w:type="paragraph" w:styleId="aa">
    <w:name w:val="Balloon Text"/>
    <w:basedOn w:val="a"/>
    <w:link w:val="ab"/>
    <w:uiPriority w:val="99"/>
    <w:semiHidden/>
    <w:unhideWhenUsed/>
    <w:rsid w:val="002153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971">
      <w:bodyDiv w:val="1"/>
      <w:marLeft w:val="0"/>
      <w:marRight w:val="0"/>
      <w:marTop w:val="0"/>
      <w:marBottom w:val="0"/>
      <w:divBdr>
        <w:top w:val="none" w:sz="0" w:space="0" w:color="auto"/>
        <w:left w:val="none" w:sz="0" w:space="0" w:color="auto"/>
        <w:bottom w:val="none" w:sz="0" w:space="0" w:color="auto"/>
        <w:right w:val="none" w:sz="0" w:space="0" w:color="auto"/>
      </w:divBdr>
    </w:div>
    <w:div w:id="438457221">
      <w:bodyDiv w:val="1"/>
      <w:marLeft w:val="0"/>
      <w:marRight w:val="0"/>
      <w:marTop w:val="0"/>
      <w:marBottom w:val="0"/>
      <w:divBdr>
        <w:top w:val="none" w:sz="0" w:space="0" w:color="auto"/>
        <w:left w:val="none" w:sz="0" w:space="0" w:color="auto"/>
        <w:bottom w:val="none" w:sz="0" w:space="0" w:color="auto"/>
        <w:right w:val="none" w:sz="0" w:space="0" w:color="auto"/>
      </w:divBdr>
    </w:div>
    <w:div w:id="491530190">
      <w:bodyDiv w:val="1"/>
      <w:marLeft w:val="0"/>
      <w:marRight w:val="0"/>
      <w:marTop w:val="0"/>
      <w:marBottom w:val="0"/>
      <w:divBdr>
        <w:top w:val="none" w:sz="0" w:space="0" w:color="auto"/>
        <w:left w:val="none" w:sz="0" w:space="0" w:color="auto"/>
        <w:bottom w:val="none" w:sz="0" w:space="0" w:color="auto"/>
        <w:right w:val="none" w:sz="0" w:space="0" w:color="auto"/>
      </w:divBdr>
    </w:div>
    <w:div w:id="719327837">
      <w:bodyDiv w:val="1"/>
      <w:marLeft w:val="0"/>
      <w:marRight w:val="0"/>
      <w:marTop w:val="0"/>
      <w:marBottom w:val="0"/>
      <w:divBdr>
        <w:top w:val="none" w:sz="0" w:space="0" w:color="auto"/>
        <w:left w:val="none" w:sz="0" w:space="0" w:color="auto"/>
        <w:bottom w:val="none" w:sz="0" w:space="0" w:color="auto"/>
        <w:right w:val="none" w:sz="0" w:space="0" w:color="auto"/>
      </w:divBdr>
    </w:div>
    <w:div w:id="808086078">
      <w:bodyDiv w:val="1"/>
      <w:marLeft w:val="0"/>
      <w:marRight w:val="0"/>
      <w:marTop w:val="0"/>
      <w:marBottom w:val="0"/>
      <w:divBdr>
        <w:top w:val="none" w:sz="0" w:space="0" w:color="auto"/>
        <w:left w:val="none" w:sz="0" w:space="0" w:color="auto"/>
        <w:bottom w:val="none" w:sz="0" w:space="0" w:color="auto"/>
        <w:right w:val="none" w:sz="0" w:space="0" w:color="auto"/>
      </w:divBdr>
    </w:div>
    <w:div w:id="903880308">
      <w:bodyDiv w:val="1"/>
      <w:marLeft w:val="0"/>
      <w:marRight w:val="0"/>
      <w:marTop w:val="0"/>
      <w:marBottom w:val="0"/>
      <w:divBdr>
        <w:top w:val="none" w:sz="0" w:space="0" w:color="auto"/>
        <w:left w:val="none" w:sz="0" w:space="0" w:color="auto"/>
        <w:bottom w:val="none" w:sz="0" w:space="0" w:color="auto"/>
        <w:right w:val="none" w:sz="0" w:space="0" w:color="auto"/>
      </w:divBdr>
    </w:div>
    <w:div w:id="1493326493">
      <w:bodyDiv w:val="1"/>
      <w:marLeft w:val="0"/>
      <w:marRight w:val="0"/>
      <w:marTop w:val="0"/>
      <w:marBottom w:val="0"/>
      <w:divBdr>
        <w:top w:val="none" w:sz="0" w:space="0" w:color="auto"/>
        <w:left w:val="none" w:sz="0" w:space="0" w:color="auto"/>
        <w:bottom w:val="none" w:sz="0" w:space="0" w:color="auto"/>
        <w:right w:val="none" w:sz="0" w:space="0" w:color="auto"/>
      </w:divBdr>
    </w:div>
    <w:div w:id="1574506446">
      <w:bodyDiv w:val="1"/>
      <w:marLeft w:val="0"/>
      <w:marRight w:val="0"/>
      <w:marTop w:val="0"/>
      <w:marBottom w:val="0"/>
      <w:divBdr>
        <w:top w:val="none" w:sz="0" w:space="0" w:color="auto"/>
        <w:left w:val="none" w:sz="0" w:space="0" w:color="auto"/>
        <w:bottom w:val="none" w:sz="0" w:space="0" w:color="auto"/>
        <w:right w:val="none" w:sz="0" w:space="0" w:color="auto"/>
      </w:divBdr>
    </w:div>
    <w:div w:id="1760440408">
      <w:bodyDiv w:val="1"/>
      <w:marLeft w:val="0"/>
      <w:marRight w:val="0"/>
      <w:marTop w:val="0"/>
      <w:marBottom w:val="0"/>
      <w:divBdr>
        <w:top w:val="none" w:sz="0" w:space="0" w:color="auto"/>
        <w:left w:val="none" w:sz="0" w:space="0" w:color="auto"/>
        <w:bottom w:val="none" w:sz="0" w:space="0" w:color="auto"/>
        <w:right w:val="none" w:sz="0" w:space="0" w:color="auto"/>
      </w:divBdr>
    </w:div>
    <w:div w:id="1845196941">
      <w:bodyDiv w:val="1"/>
      <w:marLeft w:val="0"/>
      <w:marRight w:val="0"/>
      <w:marTop w:val="0"/>
      <w:marBottom w:val="0"/>
      <w:divBdr>
        <w:top w:val="none" w:sz="0" w:space="0" w:color="auto"/>
        <w:left w:val="none" w:sz="0" w:space="0" w:color="auto"/>
        <w:bottom w:val="none" w:sz="0" w:space="0" w:color="auto"/>
        <w:right w:val="none" w:sz="0" w:space="0" w:color="auto"/>
      </w:divBdr>
    </w:div>
    <w:div w:id="21271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1987-8A0B-47BB-950F-CE668DE3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Морева Мария Алексеевна</cp:lastModifiedBy>
  <cp:revision>3</cp:revision>
  <dcterms:created xsi:type="dcterms:W3CDTF">2024-05-31T15:34:00Z</dcterms:created>
  <dcterms:modified xsi:type="dcterms:W3CDTF">2024-05-31T15:35:00Z</dcterms:modified>
</cp:coreProperties>
</file>